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3D473" w14:textId="77777777" w:rsidR="00856A30" w:rsidRDefault="00856A30" w:rsidP="00854D4A">
      <w:pPr>
        <w:pStyle w:val="Textoindependiente"/>
        <w:spacing w:before="1" w:line="360" w:lineRule="auto"/>
        <w:rPr>
          <w:rFonts w:ascii="Times New Roman"/>
          <w:sz w:val="27"/>
        </w:rPr>
      </w:pPr>
    </w:p>
    <w:p w14:paraId="50B9DF2C" w14:textId="6EC1AFEB" w:rsidR="00856A30" w:rsidRPr="00DD08E0" w:rsidRDefault="005466D4" w:rsidP="00854D4A">
      <w:pPr>
        <w:pStyle w:val="Ttulo1"/>
        <w:spacing w:before="92" w:line="360" w:lineRule="auto"/>
        <w:rPr>
          <w:color w:val="C00000"/>
        </w:rPr>
      </w:pPr>
      <w:r w:rsidRPr="00DD08E0">
        <w:rPr>
          <w:color w:val="C00000"/>
        </w:rPr>
        <w:t>Campaña #</w:t>
      </w:r>
      <w:r w:rsidR="006A7D00" w:rsidRPr="00DD08E0">
        <w:rPr>
          <w:color w:val="C00000"/>
        </w:rPr>
        <w:t>decalogoSAPDU</w:t>
      </w:r>
      <w:r w:rsidRPr="00DD08E0">
        <w:rPr>
          <w:color w:val="C00000"/>
        </w:rPr>
        <w:t xml:space="preserve"> </w:t>
      </w:r>
      <w:r w:rsidR="00DD08E0">
        <w:rPr>
          <w:color w:val="C00000"/>
        </w:rPr>
        <w:t xml:space="preserve">- </w:t>
      </w:r>
      <w:r w:rsidRPr="00DD08E0">
        <w:rPr>
          <w:color w:val="C00000"/>
        </w:rPr>
        <w:t>Red SAPDU</w:t>
      </w:r>
    </w:p>
    <w:p w14:paraId="05B378F3" w14:textId="54A5533D" w:rsidR="00856A30" w:rsidRPr="00DD08E0" w:rsidRDefault="006A7D00" w:rsidP="00854D4A">
      <w:pPr>
        <w:pStyle w:val="Ttulo2"/>
        <w:spacing w:line="360" w:lineRule="auto"/>
        <w:ind w:left="567"/>
        <w:rPr>
          <w:color w:val="C00000"/>
        </w:rPr>
      </w:pPr>
      <w:r w:rsidRPr="00DD08E0">
        <w:rPr>
          <w:color w:val="C00000"/>
        </w:rPr>
        <w:t>3 de diciembre de 2019</w:t>
      </w:r>
      <w:r w:rsidR="00DD08E0" w:rsidRPr="00DD08E0">
        <w:rPr>
          <w:color w:val="C00000"/>
        </w:rPr>
        <w:t xml:space="preserve"> </w:t>
      </w:r>
      <w:r w:rsidR="005466D4" w:rsidRPr="00DD08E0">
        <w:rPr>
          <w:color w:val="C00000"/>
        </w:rPr>
        <w:t>Día Internacional de las Personas con Discapacidad</w:t>
      </w:r>
    </w:p>
    <w:p w14:paraId="5133C437" w14:textId="77777777" w:rsidR="00856A30" w:rsidRDefault="00856A30" w:rsidP="00854D4A">
      <w:pPr>
        <w:pStyle w:val="Textoindependiente"/>
        <w:spacing w:before="1" w:line="360" w:lineRule="auto"/>
        <w:rPr>
          <w:b/>
          <w:sz w:val="26"/>
        </w:rPr>
      </w:pPr>
    </w:p>
    <w:p w14:paraId="3ABE8EFB" w14:textId="41250D7C" w:rsidR="00801BCD" w:rsidRPr="00854D4A" w:rsidRDefault="005466D4" w:rsidP="00854D4A">
      <w:pPr>
        <w:spacing w:line="360" w:lineRule="auto"/>
      </w:pPr>
      <w:r w:rsidRPr="00854D4A">
        <w:t>Los Servicios de Apoyo a Personas con Discapacidad de las Universidades españolas son el motor de cambio para lograr una sociedad más inclusiva, tolerante, accesible y transparente.</w:t>
      </w:r>
    </w:p>
    <w:p w14:paraId="63B05007" w14:textId="77777777" w:rsidR="00D83021" w:rsidRPr="00854D4A" w:rsidRDefault="00D83021" w:rsidP="00854D4A">
      <w:pPr>
        <w:spacing w:line="360" w:lineRule="auto"/>
      </w:pPr>
      <w:r w:rsidRPr="00854D4A">
        <w:t>Desde el principio de igualdad de oportunidades durante estos años se han consolidado los servicios de apoyo a las personas con discapacidad en nuestras universidades, asumiendo los principios de inclusión educativa en consonancia con la legislación internacional, nacional y universitaria. En el año 2009 las universidades crearon la Red de los Servicios de Apoyo a las Personas con Discapacidad en la Universidad (en adelante Red SAPDU) colaborando con la comisión sectorial de CRUE Asuntos Estudiantiles.</w:t>
      </w:r>
    </w:p>
    <w:p w14:paraId="49524112" w14:textId="6842C384" w:rsidR="00801BCD" w:rsidRPr="00854D4A" w:rsidRDefault="00D83021" w:rsidP="00854D4A">
      <w:pPr>
        <w:spacing w:line="360" w:lineRule="auto"/>
      </w:pPr>
      <w:r w:rsidRPr="00854D4A">
        <w:t>Ahora, e</w:t>
      </w:r>
      <w:r w:rsidR="00801BCD" w:rsidRPr="00854D4A">
        <w:t xml:space="preserve">n el </w:t>
      </w:r>
      <w:r w:rsidR="00801BCD" w:rsidRPr="00854D4A">
        <w:rPr>
          <w:bCs/>
        </w:rPr>
        <w:t>X aniversario de la Red SAPDU</w:t>
      </w:r>
      <w:r w:rsidR="00801BCD" w:rsidRPr="00854D4A">
        <w:t xml:space="preserve"> y tras más de veinte años de ejercicio profesional en las universidades, las personas que trabajan en los servicios de apoyo universitarios han aunado los valores y los principios que </w:t>
      </w:r>
      <w:r w:rsidRPr="00854D4A">
        <w:t>regulan su</w:t>
      </w:r>
      <w:r w:rsidR="00801BCD" w:rsidRPr="00854D4A">
        <w:t xml:space="preserve"> práctica como profesionales</w:t>
      </w:r>
      <w:r w:rsidRPr="00854D4A">
        <w:t xml:space="preserve"> en un decálogo ético profesional</w:t>
      </w:r>
      <w:r w:rsidR="00801BCD" w:rsidRPr="00854D4A">
        <w:t>.</w:t>
      </w:r>
      <w:r w:rsidRPr="00854D4A">
        <w:t xml:space="preserve"> Así, coincidiendo con el Día Internacional de las Personas con Discapacidad lanzamos la campaña #decalogoSAPDU en la que se quiere dar a conocer este decálogo fundamentado en valores de dignidad humana, libertad e igualdad, como se contemplan en la Declaración Universal de los Derechos Humanos y en la Convención Internacional de los Derechos de las Personas con Discapacidad.</w:t>
      </w:r>
    </w:p>
    <w:p w14:paraId="20E69DA8" w14:textId="25ACD070" w:rsidR="00D83021" w:rsidRPr="00854D4A" w:rsidRDefault="00D83021" w:rsidP="00854D4A">
      <w:pPr>
        <w:spacing w:line="360" w:lineRule="auto"/>
      </w:pPr>
      <w:r w:rsidRPr="00854D4A">
        <w:t>Actualmente los servicios atienden a más de veintidós mil personas, lo que supone que en una década se ha incrementado la atención en más de un 125%. Sin embargo, queda por mucho por hacer, es necesario seguir potenciando la inclusión de las personas con discapacidad, tanto dentro como fuera del sistema universitario. Este enfoque transversal concierne a toda la comunidad universitaria y a la sociedad.</w:t>
      </w:r>
    </w:p>
    <w:p w14:paraId="06AB7BFA" w14:textId="664B0852" w:rsidR="00801BCD" w:rsidRPr="00854D4A" w:rsidRDefault="00801BCD" w:rsidP="00854D4A">
      <w:pPr>
        <w:spacing w:line="360" w:lineRule="auto"/>
      </w:pPr>
      <w:r w:rsidRPr="00854D4A">
        <w:t>La elaboración de este código ético pone en el papel los principios que comparten todos los servicios y aporta una seña de identidad acerca de los valores profesionales que se desarrollan en las universidades en la atención a la diversidad, estableciendo un compromiso técnico con el desarrollo de los derechos y responsabilidades tanto del profesional como de las personas que todos los días hacen uso de estos servicios.</w:t>
      </w:r>
    </w:p>
    <w:p w14:paraId="678B28B3" w14:textId="517E75A4" w:rsidR="00D83021" w:rsidRPr="00854D4A" w:rsidRDefault="00D83021" w:rsidP="00854D4A">
      <w:pPr>
        <w:spacing w:line="360" w:lineRule="auto"/>
      </w:pPr>
      <w:r w:rsidRPr="00854D4A">
        <w:t>Estos son los diez principios:</w:t>
      </w:r>
    </w:p>
    <w:p w14:paraId="279A19F5" w14:textId="77777777" w:rsidR="00801BCD" w:rsidRDefault="00801BCD" w:rsidP="00854D4A">
      <w:pPr>
        <w:pStyle w:val="Prrafodelista"/>
        <w:numPr>
          <w:ilvl w:val="0"/>
          <w:numId w:val="7"/>
        </w:numPr>
        <w:spacing w:line="360" w:lineRule="auto"/>
      </w:pPr>
      <w:r>
        <w:t>Promoción de la autonomía frente a las conductas sobreprotectoras.</w:t>
      </w:r>
    </w:p>
    <w:p w14:paraId="56DC70DC" w14:textId="77777777" w:rsidR="00801BCD" w:rsidRDefault="00801BCD" w:rsidP="00854D4A">
      <w:pPr>
        <w:pStyle w:val="Prrafodelista"/>
        <w:numPr>
          <w:ilvl w:val="0"/>
          <w:numId w:val="7"/>
        </w:numPr>
        <w:spacing w:line="360" w:lineRule="auto"/>
      </w:pPr>
      <w:r>
        <w:lastRenderedPageBreak/>
        <w:t xml:space="preserve">Intervención para la igualdad de oportunidades para todos y todas en todos los ámbitos en los que las personas participan. </w:t>
      </w:r>
    </w:p>
    <w:p w14:paraId="4D339DFF" w14:textId="77777777" w:rsidR="00801BCD" w:rsidRDefault="00801BCD" w:rsidP="00854D4A">
      <w:pPr>
        <w:pStyle w:val="Prrafodelista"/>
        <w:numPr>
          <w:ilvl w:val="0"/>
          <w:numId w:val="7"/>
        </w:numPr>
        <w:spacing w:line="360" w:lineRule="auto"/>
      </w:pPr>
      <w:r>
        <w:t xml:space="preserve">Poner el valor en la persona, como sujeto activo en su proceso de enseñanza y aprendizaje con derechos y deberes.  </w:t>
      </w:r>
    </w:p>
    <w:p w14:paraId="6F63AD7F" w14:textId="302A6AAC" w:rsidR="00801BCD" w:rsidRDefault="00801BCD" w:rsidP="00854D4A">
      <w:pPr>
        <w:pStyle w:val="Prrafodelista"/>
        <w:numPr>
          <w:ilvl w:val="0"/>
          <w:numId w:val="7"/>
        </w:numPr>
        <w:spacing w:line="360" w:lineRule="auto"/>
      </w:pPr>
      <w:r>
        <w:t xml:space="preserve">Confidencialidad </w:t>
      </w:r>
      <w:r w:rsidR="00D83021">
        <w:t>y privacidad</w:t>
      </w:r>
      <w:r>
        <w:t xml:space="preserve"> atendiendo a lo dispuesto en la ley de protección de datos.</w:t>
      </w:r>
    </w:p>
    <w:p w14:paraId="511D2F80" w14:textId="77777777" w:rsidR="00801BCD" w:rsidRDefault="00801BCD" w:rsidP="00854D4A">
      <w:pPr>
        <w:pStyle w:val="Prrafodelista"/>
        <w:numPr>
          <w:ilvl w:val="0"/>
          <w:numId w:val="7"/>
        </w:numPr>
        <w:spacing w:line="360" w:lineRule="auto"/>
      </w:pPr>
      <w:r>
        <w:t>Potenciar el trabajo en red en todos los ámbitos. Hacia dentro de nuestra universidad y hacia fuera como parte del compromiso de la universidad con la sociedad.</w:t>
      </w:r>
    </w:p>
    <w:p w14:paraId="02B7D3B9" w14:textId="77777777" w:rsidR="00801BCD" w:rsidRDefault="00801BCD" w:rsidP="00854D4A">
      <w:pPr>
        <w:pStyle w:val="Prrafodelista"/>
        <w:numPr>
          <w:ilvl w:val="0"/>
          <w:numId w:val="7"/>
        </w:numPr>
        <w:spacing w:line="360" w:lineRule="auto"/>
      </w:pPr>
      <w:r>
        <w:t>Promoción del diseño universal para el aprendizaje creando entornos accesibles para todas las personas.</w:t>
      </w:r>
    </w:p>
    <w:p w14:paraId="6DD4B649" w14:textId="77777777" w:rsidR="00D83021" w:rsidRDefault="00801BCD" w:rsidP="00854D4A">
      <w:pPr>
        <w:pStyle w:val="Prrafodelista"/>
        <w:numPr>
          <w:ilvl w:val="0"/>
          <w:numId w:val="7"/>
        </w:numPr>
        <w:spacing w:line="360" w:lineRule="auto"/>
      </w:pPr>
      <w:r>
        <w:t>Participación plena del estudiante para hacer visible su inclusión educativa.</w:t>
      </w:r>
    </w:p>
    <w:p w14:paraId="3C5D1F59" w14:textId="77777777" w:rsidR="00D83021" w:rsidRDefault="00801BCD" w:rsidP="00854D4A">
      <w:pPr>
        <w:pStyle w:val="Prrafodelista"/>
        <w:numPr>
          <w:ilvl w:val="0"/>
          <w:numId w:val="7"/>
        </w:numPr>
        <w:spacing w:line="360" w:lineRule="auto"/>
      </w:pPr>
      <w:r>
        <w:t>Respeto por la diversidad en sentido amplio incluyendo todos los colectivos.</w:t>
      </w:r>
    </w:p>
    <w:p w14:paraId="3F16E799" w14:textId="77777777" w:rsidR="00D83021" w:rsidRDefault="00801BCD" w:rsidP="00854D4A">
      <w:pPr>
        <w:pStyle w:val="Prrafodelista"/>
        <w:numPr>
          <w:ilvl w:val="0"/>
          <w:numId w:val="7"/>
        </w:numPr>
        <w:spacing w:line="360" w:lineRule="auto"/>
      </w:pPr>
      <w:r>
        <w:t>Perspectiva de género en las acciones, estrategias y propuestas de intervención de los servicios de apoyo de las universidades.</w:t>
      </w:r>
    </w:p>
    <w:p w14:paraId="345C247E" w14:textId="14092D2E" w:rsidR="00801BCD" w:rsidRDefault="00801BCD" w:rsidP="00854D4A">
      <w:pPr>
        <w:pStyle w:val="Prrafodelista"/>
        <w:numPr>
          <w:ilvl w:val="0"/>
          <w:numId w:val="7"/>
        </w:numPr>
        <w:spacing w:line="360" w:lineRule="auto"/>
      </w:pPr>
      <w:r>
        <w:t xml:space="preserve">Desarrollo de las capacidades personales para la búsqueda de empleo y promoción de la inclusión laboral de los colectivos con los que trabajamos.  </w:t>
      </w:r>
    </w:p>
    <w:p w14:paraId="3B876018" w14:textId="77777777" w:rsidR="004A671A" w:rsidRDefault="004A671A" w:rsidP="00854D4A">
      <w:pPr>
        <w:pStyle w:val="Textoindependiente"/>
        <w:spacing w:before="1" w:line="360" w:lineRule="auto"/>
        <w:ind w:left="102" w:right="115"/>
        <w:jc w:val="both"/>
      </w:pPr>
      <w:bookmarkStart w:id="0" w:name="_GoBack"/>
      <w:bookmarkEnd w:id="0"/>
    </w:p>
    <w:p w14:paraId="537E55A9" w14:textId="77777777" w:rsidR="004A671A" w:rsidRDefault="004A671A" w:rsidP="00854D4A">
      <w:pPr>
        <w:pStyle w:val="Textoindependiente"/>
        <w:spacing w:before="1" w:line="360" w:lineRule="auto"/>
        <w:ind w:left="102" w:right="115"/>
        <w:jc w:val="both"/>
      </w:pPr>
    </w:p>
    <w:p w14:paraId="2448574E" w14:textId="74E4D648" w:rsidR="00856A30" w:rsidRDefault="005466D4" w:rsidP="00854D4A">
      <w:pPr>
        <w:pStyle w:val="Textoindependiente"/>
        <w:spacing w:before="1" w:line="360" w:lineRule="auto"/>
        <w:ind w:left="102" w:right="115"/>
        <w:jc w:val="both"/>
      </w:pPr>
      <w:r>
        <w:t xml:space="preserve">Se ha realizado un vídeo institucional desde la Red SAPDU que </w:t>
      </w:r>
      <w:r w:rsidR="00854D4A">
        <w:t>presenta el decálogo en imágenes.</w:t>
      </w:r>
    </w:p>
    <w:p w14:paraId="54394BC4" w14:textId="77777777" w:rsidR="00854D4A" w:rsidRDefault="00854D4A" w:rsidP="00854D4A">
      <w:pPr>
        <w:pStyle w:val="Textoindependiente"/>
        <w:spacing w:before="1" w:line="360" w:lineRule="auto"/>
        <w:ind w:left="102" w:right="115"/>
        <w:jc w:val="both"/>
        <w:rPr>
          <w:b/>
          <w:bCs/>
          <w:color w:val="000000"/>
        </w:rPr>
      </w:pPr>
      <w:r w:rsidRPr="00854D4A">
        <w:rPr>
          <w:b/>
          <w:bCs/>
          <w:sz w:val="24"/>
        </w:rPr>
        <w:t>Enlace al vídeo:</w:t>
      </w:r>
      <w:r w:rsidRPr="00854D4A">
        <w:rPr>
          <w:b/>
          <w:bCs/>
          <w:color w:val="000000"/>
        </w:rPr>
        <w:t xml:space="preserve"> https://youtu.be/BjpSG4Ltlw4 </w:t>
      </w:r>
    </w:p>
    <w:p w14:paraId="30A92649" w14:textId="77777777" w:rsidR="004A671A" w:rsidRDefault="004A671A" w:rsidP="00854D4A">
      <w:pPr>
        <w:pStyle w:val="Textoindependiente"/>
        <w:spacing w:before="1" w:line="360" w:lineRule="auto"/>
        <w:ind w:left="102" w:right="115"/>
        <w:jc w:val="both"/>
        <w:rPr>
          <w:b/>
          <w:bCs/>
          <w:color w:val="000000"/>
        </w:rPr>
      </w:pPr>
    </w:p>
    <w:sectPr w:rsidR="004A671A">
      <w:headerReference w:type="default" r:id="rId7"/>
      <w:footerReference w:type="default" r:id="rId8"/>
      <w:pgSz w:w="11900" w:h="16850"/>
      <w:pgMar w:top="1880" w:right="1580" w:bottom="1240" w:left="1600" w:header="708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F7258" w14:textId="77777777" w:rsidR="005735B3" w:rsidRDefault="005735B3">
      <w:r>
        <w:separator/>
      </w:r>
    </w:p>
  </w:endnote>
  <w:endnote w:type="continuationSeparator" w:id="0">
    <w:p w14:paraId="68AE058E" w14:textId="77777777" w:rsidR="005735B3" w:rsidRDefault="0057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5D78E" w14:textId="77777777" w:rsidR="00856A30" w:rsidRDefault="005735B3">
    <w:pPr>
      <w:pStyle w:val="Textoindependiente"/>
      <w:spacing w:line="14" w:lineRule="auto"/>
      <w:rPr>
        <w:sz w:val="20"/>
      </w:rPr>
    </w:pPr>
    <w:r>
      <w:pict w14:anchorId="4C45C2D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pt;margin-top:778.9pt;width:12.1pt;height:14pt;z-index:-251657728;mso-position-horizontal-relative:page;mso-position-vertical-relative:page" filled="f" stroked="f">
          <v:textbox inset="0,0,0,0">
            <w:txbxContent>
              <w:p w14:paraId="2B4F72D1" w14:textId="77777777" w:rsidR="00856A30" w:rsidRDefault="005466D4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671A">
                  <w:rPr>
                    <w:rFonts w:ascii="Calibri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47092" w14:textId="77777777" w:rsidR="005735B3" w:rsidRDefault="005735B3">
      <w:r>
        <w:separator/>
      </w:r>
    </w:p>
  </w:footnote>
  <w:footnote w:type="continuationSeparator" w:id="0">
    <w:p w14:paraId="1FE011AD" w14:textId="77777777" w:rsidR="005735B3" w:rsidRDefault="00573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7986B" w14:textId="77777777" w:rsidR="00856A30" w:rsidRDefault="005466D4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12656035" wp14:editId="56288195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986376" cy="718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6376" cy="71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 wp14:anchorId="6B001109" wp14:editId="7C9A7349">
          <wp:simplePos x="0" y="0"/>
          <wp:positionH relativeFrom="page">
            <wp:posOffset>4676775</wp:posOffset>
          </wp:positionH>
          <wp:positionV relativeFrom="page">
            <wp:posOffset>676909</wp:posOffset>
          </wp:positionV>
          <wp:extent cx="1565910" cy="51879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5910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3F1"/>
    <w:multiLevelType w:val="multilevel"/>
    <w:tmpl w:val="5A74A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3589"/>
    <w:multiLevelType w:val="hybridMultilevel"/>
    <w:tmpl w:val="0A78E772"/>
    <w:lvl w:ilvl="0" w:tplc="0C0A000F">
      <w:start w:val="1"/>
      <w:numFmt w:val="decimal"/>
      <w:lvlText w:val="%1."/>
      <w:lvlJc w:val="left"/>
      <w:pPr>
        <w:ind w:left="1181" w:hanging="360"/>
      </w:pPr>
    </w:lvl>
    <w:lvl w:ilvl="1" w:tplc="0C0A0019" w:tentative="1">
      <w:start w:val="1"/>
      <w:numFmt w:val="lowerLetter"/>
      <w:lvlText w:val="%2."/>
      <w:lvlJc w:val="left"/>
      <w:pPr>
        <w:ind w:left="1901" w:hanging="360"/>
      </w:pPr>
    </w:lvl>
    <w:lvl w:ilvl="2" w:tplc="0C0A001B" w:tentative="1">
      <w:start w:val="1"/>
      <w:numFmt w:val="lowerRoman"/>
      <w:lvlText w:val="%3."/>
      <w:lvlJc w:val="right"/>
      <w:pPr>
        <w:ind w:left="2621" w:hanging="180"/>
      </w:pPr>
    </w:lvl>
    <w:lvl w:ilvl="3" w:tplc="0C0A000F" w:tentative="1">
      <w:start w:val="1"/>
      <w:numFmt w:val="decimal"/>
      <w:lvlText w:val="%4."/>
      <w:lvlJc w:val="left"/>
      <w:pPr>
        <w:ind w:left="3341" w:hanging="360"/>
      </w:pPr>
    </w:lvl>
    <w:lvl w:ilvl="4" w:tplc="0C0A0019" w:tentative="1">
      <w:start w:val="1"/>
      <w:numFmt w:val="lowerLetter"/>
      <w:lvlText w:val="%5."/>
      <w:lvlJc w:val="left"/>
      <w:pPr>
        <w:ind w:left="4061" w:hanging="360"/>
      </w:pPr>
    </w:lvl>
    <w:lvl w:ilvl="5" w:tplc="0C0A001B" w:tentative="1">
      <w:start w:val="1"/>
      <w:numFmt w:val="lowerRoman"/>
      <w:lvlText w:val="%6."/>
      <w:lvlJc w:val="right"/>
      <w:pPr>
        <w:ind w:left="4781" w:hanging="180"/>
      </w:pPr>
    </w:lvl>
    <w:lvl w:ilvl="6" w:tplc="0C0A000F" w:tentative="1">
      <w:start w:val="1"/>
      <w:numFmt w:val="decimal"/>
      <w:lvlText w:val="%7."/>
      <w:lvlJc w:val="left"/>
      <w:pPr>
        <w:ind w:left="5501" w:hanging="360"/>
      </w:pPr>
    </w:lvl>
    <w:lvl w:ilvl="7" w:tplc="0C0A0019" w:tentative="1">
      <w:start w:val="1"/>
      <w:numFmt w:val="lowerLetter"/>
      <w:lvlText w:val="%8."/>
      <w:lvlJc w:val="left"/>
      <w:pPr>
        <w:ind w:left="6221" w:hanging="360"/>
      </w:pPr>
    </w:lvl>
    <w:lvl w:ilvl="8" w:tplc="0C0A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" w15:restartNumberingAfterBreak="0">
    <w:nsid w:val="20B9024B"/>
    <w:multiLevelType w:val="hybridMultilevel"/>
    <w:tmpl w:val="6660FDCC"/>
    <w:lvl w:ilvl="0" w:tplc="434AD832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/>
        <w:bCs/>
        <w:color w:val="CC0000"/>
        <w:spacing w:val="-1"/>
        <w:w w:val="100"/>
        <w:sz w:val="22"/>
        <w:szCs w:val="22"/>
        <w:lang w:val="es-ES" w:eastAsia="es-ES" w:bidi="es-ES"/>
      </w:rPr>
    </w:lvl>
    <w:lvl w:ilvl="1" w:tplc="8E52426A">
      <w:numFmt w:val="bullet"/>
      <w:lvlText w:val="•"/>
      <w:lvlJc w:val="left"/>
      <w:pPr>
        <w:ind w:left="1609" w:hanging="360"/>
      </w:pPr>
      <w:rPr>
        <w:rFonts w:hint="default"/>
        <w:lang w:val="es-ES" w:eastAsia="es-ES" w:bidi="es-ES"/>
      </w:rPr>
    </w:lvl>
    <w:lvl w:ilvl="2" w:tplc="274CD410">
      <w:numFmt w:val="bullet"/>
      <w:lvlText w:val="•"/>
      <w:lvlJc w:val="left"/>
      <w:pPr>
        <w:ind w:left="2399" w:hanging="360"/>
      </w:pPr>
      <w:rPr>
        <w:rFonts w:hint="default"/>
        <w:lang w:val="es-ES" w:eastAsia="es-ES" w:bidi="es-ES"/>
      </w:rPr>
    </w:lvl>
    <w:lvl w:ilvl="3" w:tplc="E9505546">
      <w:numFmt w:val="bullet"/>
      <w:lvlText w:val="•"/>
      <w:lvlJc w:val="left"/>
      <w:pPr>
        <w:ind w:left="3189" w:hanging="360"/>
      </w:pPr>
      <w:rPr>
        <w:rFonts w:hint="default"/>
        <w:lang w:val="es-ES" w:eastAsia="es-ES" w:bidi="es-ES"/>
      </w:rPr>
    </w:lvl>
    <w:lvl w:ilvl="4" w:tplc="DD36DAEC">
      <w:numFmt w:val="bullet"/>
      <w:lvlText w:val="•"/>
      <w:lvlJc w:val="left"/>
      <w:pPr>
        <w:ind w:left="3979" w:hanging="360"/>
      </w:pPr>
      <w:rPr>
        <w:rFonts w:hint="default"/>
        <w:lang w:val="es-ES" w:eastAsia="es-ES" w:bidi="es-ES"/>
      </w:rPr>
    </w:lvl>
    <w:lvl w:ilvl="5" w:tplc="43F6B444">
      <w:numFmt w:val="bullet"/>
      <w:lvlText w:val="•"/>
      <w:lvlJc w:val="left"/>
      <w:pPr>
        <w:ind w:left="4769" w:hanging="360"/>
      </w:pPr>
      <w:rPr>
        <w:rFonts w:hint="default"/>
        <w:lang w:val="es-ES" w:eastAsia="es-ES" w:bidi="es-ES"/>
      </w:rPr>
    </w:lvl>
    <w:lvl w:ilvl="6" w:tplc="3CB2EC0E">
      <w:numFmt w:val="bullet"/>
      <w:lvlText w:val="•"/>
      <w:lvlJc w:val="left"/>
      <w:pPr>
        <w:ind w:left="5559" w:hanging="360"/>
      </w:pPr>
      <w:rPr>
        <w:rFonts w:hint="default"/>
        <w:lang w:val="es-ES" w:eastAsia="es-ES" w:bidi="es-ES"/>
      </w:rPr>
    </w:lvl>
    <w:lvl w:ilvl="7" w:tplc="9538210E">
      <w:numFmt w:val="bullet"/>
      <w:lvlText w:val="•"/>
      <w:lvlJc w:val="left"/>
      <w:pPr>
        <w:ind w:left="6349" w:hanging="360"/>
      </w:pPr>
      <w:rPr>
        <w:rFonts w:hint="default"/>
        <w:lang w:val="es-ES" w:eastAsia="es-ES" w:bidi="es-ES"/>
      </w:rPr>
    </w:lvl>
    <w:lvl w:ilvl="8" w:tplc="647EA704">
      <w:numFmt w:val="bullet"/>
      <w:lvlText w:val="•"/>
      <w:lvlJc w:val="left"/>
      <w:pPr>
        <w:ind w:left="7139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4A5310A8"/>
    <w:multiLevelType w:val="hybridMultilevel"/>
    <w:tmpl w:val="7F9035C6"/>
    <w:lvl w:ilvl="0" w:tplc="4EBCDBC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823CA138">
      <w:numFmt w:val="bullet"/>
      <w:lvlText w:val="•"/>
      <w:lvlJc w:val="left"/>
      <w:pPr>
        <w:ind w:left="1609" w:hanging="360"/>
      </w:pPr>
      <w:rPr>
        <w:rFonts w:hint="default"/>
        <w:lang w:val="es-ES" w:eastAsia="es-ES" w:bidi="es-ES"/>
      </w:rPr>
    </w:lvl>
    <w:lvl w:ilvl="2" w:tplc="72DCE436">
      <w:numFmt w:val="bullet"/>
      <w:lvlText w:val="•"/>
      <w:lvlJc w:val="left"/>
      <w:pPr>
        <w:ind w:left="2399" w:hanging="360"/>
      </w:pPr>
      <w:rPr>
        <w:rFonts w:hint="default"/>
        <w:lang w:val="es-ES" w:eastAsia="es-ES" w:bidi="es-ES"/>
      </w:rPr>
    </w:lvl>
    <w:lvl w:ilvl="3" w:tplc="7A26841A">
      <w:numFmt w:val="bullet"/>
      <w:lvlText w:val="•"/>
      <w:lvlJc w:val="left"/>
      <w:pPr>
        <w:ind w:left="3189" w:hanging="360"/>
      </w:pPr>
      <w:rPr>
        <w:rFonts w:hint="default"/>
        <w:lang w:val="es-ES" w:eastAsia="es-ES" w:bidi="es-ES"/>
      </w:rPr>
    </w:lvl>
    <w:lvl w:ilvl="4" w:tplc="7192547C">
      <w:numFmt w:val="bullet"/>
      <w:lvlText w:val="•"/>
      <w:lvlJc w:val="left"/>
      <w:pPr>
        <w:ind w:left="3979" w:hanging="360"/>
      </w:pPr>
      <w:rPr>
        <w:rFonts w:hint="default"/>
        <w:lang w:val="es-ES" w:eastAsia="es-ES" w:bidi="es-ES"/>
      </w:rPr>
    </w:lvl>
    <w:lvl w:ilvl="5" w:tplc="A28A0D16">
      <w:numFmt w:val="bullet"/>
      <w:lvlText w:val="•"/>
      <w:lvlJc w:val="left"/>
      <w:pPr>
        <w:ind w:left="4769" w:hanging="360"/>
      </w:pPr>
      <w:rPr>
        <w:rFonts w:hint="default"/>
        <w:lang w:val="es-ES" w:eastAsia="es-ES" w:bidi="es-ES"/>
      </w:rPr>
    </w:lvl>
    <w:lvl w:ilvl="6" w:tplc="8334E63C">
      <w:numFmt w:val="bullet"/>
      <w:lvlText w:val="•"/>
      <w:lvlJc w:val="left"/>
      <w:pPr>
        <w:ind w:left="5559" w:hanging="360"/>
      </w:pPr>
      <w:rPr>
        <w:rFonts w:hint="default"/>
        <w:lang w:val="es-ES" w:eastAsia="es-ES" w:bidi="es-ES"/>
      </w:rPr>
    </w:lvl>
    <w:lvl w:ilvl="7" w:tplc="11C286B4">
      <w:numFmt w:val="bullet"/>
      <w:lvlText w:val="•"/>
      <w:lvlJc w:val="left"/>
      <w:pPr>
        <w:ind w:left="6349" w:hanging="360"/>
      </w:pPr>
      <w:rPr>
        <w:rFonts w:hint="default"/>
        <w:lang w:val="es-ES" w:eastAsia="es-ES" w:bidi="es-ES"/>
      </w:rPr>
    </w:lvl>
    <w:lvl w:ilvl="8" w:tplc="288E2F4E">
      <w:numFmt w:val="bullet"/>
      <w:lvlText w:val="•"/>
      <w:lvlJc w:val="left"/>
      <w:pPr>
        <w:ind w:left="7139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4D434F09"/>
    <w:multiLevelType w:val="multilevel"/>
    <w:tmpl w:val="9EBAC7B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93AA1"/>
    <w:multiLevelType w:val="hybridMultilevel"/>
    <w:tmpl w:val="ECA65D7C"/>
    <w:lvl w:ilvl="0" w:tplc="0C0A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" w15:restartNumberingAfterBreak="0">
    <w:nsid w:val="75505361"/>
    <w:multiLevelType w:val="hybridMultilevel"/>
    <w:tmpl w:val="E398CF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56A30"/>
    <w:rsid w:val="003C490A"/>
    <w:rsid w:val="004A671A"/>
    <w:rsid w:val="005466D4"/>
    <w:rsid w:val="005735B3"/>
    <w:rsid w:val="006A0C6A"/>
    <w:rsid w:val="006A7D00"/>
    <w:rsid w:val="00801BCD"/>
    <w:rsid w:val="00854D4A"/>
    <w:rsid w:val="00856A30"/>
    <w:rsid w:val="00D83021"/>
    <w:rsid w:val="00DD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506CCB"/>
  <w15:docId w15:val="{DD387060-408D-4525-935F-577A9DC8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822" w:hanging="36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Candela Capilla, Alicia</cp:lastModifiedBy>
  <cp:revision>5</cp:revision>
  <dcterms:created xsi:type="dcterms:W3CDTF">2019-11-30T14:45:00Z</dcterms:created>
  <dcterms:modified xsi:type="dcterms:W3CDTF">2019-12-02T11:57:00Z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2019-11-30T00:00:00Z</vt:filetime>
  </property>
</Properties>
</file>